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2C" w:rsidRDefault="006E6416">
      <w:r>
        <w:t>Consu</w:t>
      </w:r>
      <w:r w:rsidR="008D6901">
        <w:t>mer Neuroscience: Bridging the g</w:t>
      </w:r>
      <w:r>
        <w:t>ap between what a consumer says and what a consumer does</w:t>
      </w:r>
    </w:p>
    <w:p w:rsidR="001820FE" w:rsidRDefault="005322C2">
      <w:pPr>
        <w:rPr>
          <w:rFonts w:ascii="Open Sans" w:hAnsi="Open Sans" w:cs="Open Sans"/>
          <w:color w:val="363430"/>
          <w:sz w:val="27"/>
          <w:szCs w:val="27"/>
        </w:rPr>
      </w:pPr>
      <w:r w:rsidRPr="005322C2">
        <w:rPr>
          <w:rFonts w:ascii="Open Sans" w:hAnsi="Open Sans" w:cs="Open Sans"/>
          <w:color w:val="363430"/>
          <w:sz w:val="27"/>
          <w:szCs w:val="27"/>
        </w:rPr>
        <w:drawing>
          <wp:inline distT="0" distB="0" distL="0" distR="0" wp14:anchorId="6310AC28" wp14:editId="2ABCF3AA">
            <wp:extent cx="4962525" cy="2396623"/>
            <wp:effectExtent l="0" t="0" r="0" b="3810"/>
            <wp:docPr id="4" name="Pictur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ownload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230" cy="24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55B" w:rsidRPr="0021486F" w:rsidRDefault="00265813" w:rsidP="0021486F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21486F">
        <w:rPr>
          <w:rFonts w:ascii="Times New Roman" w:hAnsi="Times New Roman" w:cs="Times New Roman"/>
          <w:color w:val="363430"/>
          <w:sz w:val="24"/>
          <w:szCs w:val="24"/>
        </w:rPr>
        <w:t>Neuroscience is the study of the nervous system</w:t>
      </w:r>
      <w:r w:rsidR="009A3F79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 including</w:t>
      </w:r>
      <w:r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 the brain and the spinal cord. </w:t>
      </w:r>
      <w:r w:rsidR="001820FE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Neuroscience is interdisciplinary </w:t>
      </w:r>
      <w:r w:rsidR="00007068" w:rsidRPr="0021486F">
        <w:rPr>
          <w:rFonts w:ascii="Times New Roman" w:hAnsi="Times New Roman" w:cs="Times New Roman"/>
          <w:color w:val="363430"/>
          <w:sz w:val="24"/>
          <w:szCs w:val="24"/>
        </w:rPr>
        <w:t>and</w:t>
      </w:r>
      <w:r w:rsidR="001820FE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 works closely with other disciplines</w:t>
      </w:r>
      <w:r w:rsidR="00007068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 of study like</w:t>
      </w:r>
      <w:r w:rsidR="001820FE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 mathematics, computer science, chemistry, philosophy, psychology, and medicine.</w:t>
      </w:r>
      <w:r w:rsidR="001820FE" w:rsidRPr="0021486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265813" w:rsidRPr="0021486F" w:rsidRDefault="00B67BE3" w:rsidP="0021486F">
      <w:pPr>
        <w:jc w:val="both"/>
        <w:rPr>
          <w:rFonts w:ascii="Times New Roman" w:hAnsi="Times New Roman" w:cs="Times New Roman"/>
          <w:color w:val="363430"/>
          <w:sz w:val="24"/>
          <w:szCs w:val="24"/>
        </w:rPr>
      </w:pPr>
      <w:r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Consumer neuroscience is the application of </w:t>
      </w:r>
      <w:proofErr w:type="spellStart"/>
      <w:r w:rsidRPr="0021486F">
        <w:rPr>
          <w:rFonts w:ascii="Times New Roman" w:hAnsi="Times New Roman" w:cs="Times New Roman"/>
          <w:color w:val="363430"/>
          <w:sz w:val="24"/>
          <w:szCs w:val="24"/>
        </w:rPr>
        <w:t>neuro</w:t>
      </w:r>
      <w:proofErr w:type="spellEnd"/>
      <w:r w:rsidRPr="0021486F">
        <w:rPr>
          <w:rFonts w:ascii="Times New Roman" w:hAnsi="Times New Roman" w:cs="Times New Roman"/>
          <w:color w:val="363430"/>
          <w:sz w:val="24"/>
          <w:szCs w:val="24"/>
        </w:rPr>
        <w:t>-scientific approach to consumer behavior studies.</w:t>
      </w:r>
      <w:r w:rsidR="00EF7890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 </w:t>
      </w:r>
      <w:r w:rsidR="001820FE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Consumer neuroscience is an emerging field </w:t>
      </w:r>
      <w:r w:rsidR="00EF7890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of study </w:t>
      </w:r>
      <w:r w:rsidR="00800615" w:rsidRPr="0021486F">
        <w:rPr>
          <w:rFonts w:ascii="Times New Roman" w:hAnsi="Times New Roman" w:cs="Times New Roman"/>
          <w:color w:val="363430"/>
          <w:sz w:val="24"/>
          <w:szCs w:val="24"/>
        </w:rPr>
        <w:t>that integrates</w:t>
      </w:r>
      <w:r w:rsidR="001820FE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 </w:t>
      </w:r>
      <w:r w:rsidR="00B24B3B" w:rsidRPr="0021486F">
        <w:rPr>
          <w:rFonts w:ascii="Times New Roman" w:hAnsi="Times New Roman" w:cs="Times New Roman"/>
          <w:b/>
          <w:bCs/>
          <w:color w:val="363430"/>
          <w:sz w:val="24"/>
          <w:szCs w:val="24"/>
        </w:rPr>
        <w:t xml:space="preserve">psychology, neuroscience, </w:t>
      </w:r>
      <w:r w:rsidR="001820FE" w:rsidRPr="0021486F">
        <w:rPr>
          <w:rFonts w:ascii="Times New Roman" w:hAnsi="Times New Roman" w:cs="Times New Roman"/>
          <w:b/>
          <w:bCs/>
          <w:color w:val="363430"/>
          <w:sz w:val="24"/>
          <w:szCs w:val="24"/>
        </w:rPr>
        <w:t>economics</w:t>
      </w:r>
      <w:r w:rsidR="00B24B3B" w:rsidRPr="0021486F">
        <w:rPr>
          <w:rFonts w:ascii="Times New Roman" w:hAnsi="Times New Roman" w:cs="Times New Roman"/>
          <w:b/>
          <w:bCs/>
          <w:color w:val="363430"/>
          <w:sz w:val="24"/>
          <w:szCs w:val="24"/>
        </w:rPr>
        <w:t xml:space="preserve"> and marketing. Consumer neuroscience attempts to understand how a consumer makes choice leading to final purchase.</w:t>
      </w:r>
      <w:r w:rsidR="001820FE" w:rsidRPr="0021486F">
        <w:rPr>
          <w:rFonts w:ascii="Times New Roman" w:hAnsi="Times New Roman" w:cs="Times New Roman"/>
          <w:b/>
          <w:bCs/>
          <w:color w:val="363430"/>
          <w:sz w:val="24"/>
          <w:szCs w:val="24"/>
        </w:rPr>
        <w:t xml:space="preserve"> </w:t>
      </w:r>
    </w:p>
    <w:p w:rsidR="001820FE" w:rsidRPr="0021486F" w:rsidRDefault="0053292E" w:rsidP="0021486F">
      <w:pPr>
        <w:jc w:val="both"/>
        <w:rPr>
          <w:rFonts w:ascii="Times New Roman" w:hAnsi="Times New Roman" w:cs="Times New Roman"/>
          <w:color w:val="363430"/>
          <w:sz w:val="24"/>
          <w:szCs w:val="24"/>
        </w:rPr>
      </w:pPr>
      <w:r w:rsidRPr="0021486F">
        <w:rPr>
          <w:rFonts w:ascii="Times New Roman" w:hAnsi="Times New Roman" w:cs="Times New Roman"/>
          <w:color w:val="363430"/>
          <w:sz w:val="24"/>
          <w:szCs w:val="24"/>
        </w:rPr>
        <w:t>Neuroscience is gaining fast momentum in consumer behavior studies because researchers have expressed dissatisfaction over the outcome of conventional survey methods.</w:t>
      </w:r>
      <w:r w:rsidR="00383D5D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 </w:t>
      </w:r>
      <w:r w:rsidR="0064288B" w:rsidRPr="0021486F">
        <w:rPr>
          <w:rFonts w:ascii="Times New Roman" w:hAnsi="Times New Roman" w:cs="Times New Roman"/>
          <w:color w:val="363430"/>
          <w:sz w:val="24"/>
          <w:szCs w:val="24"/>
        </w:rPr>
        <w:t>By</w:t>
      </w:r>
      <w:r w:rsidR="00A865FA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 implement</w:t>
      </w:r>
      <w:r w:rsidR="0064288B" w:rsidRPr="0021486F">
        <w:rPr>
          <w:rFonts w:ascii="Times New Roman" w:hAnsi="Times New Roman" w:cs="Times New Roman"/>
          <w:color w:val="363430"/>
          <w:sz w:val="24"/>
          <w:szCs w:val="24"/>
        </w:rPr>
        <w:t>i</w:t>
      </w:r>
      <w:r w:rsidR="00A865FA" w:rsidRPr="0021486F">
        <w:rPr>
          <w:rFonts w:ascii="Times New Roman" w:hAnsi="Times New Roman" w:cs="Times New Roman"/>
          <w:color w:val="363430"/>
          <w:sz w:val="24"/>
          <w:szCs w:val="24"/>
        </w:rPr>
        <w:t>n</w:t>
      </w:r>
      <w:r w:rsidR="0064288B" w:rsidRPr="0021486F">
        <w:rPr>
          <w:rFonts w:ascii="Times New Roman" w:hAnsi="Times New Roman" w:cs="Times New Roman"/>
          <w:color w:val="363430"/>
          <w:sz w:val="24"/>
          <w:szCs w:val="24"/>
        </w:rPr>
        <w:t>g</w:t>
      </w:r>
      <w:r w:rsidR="00A865FA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 </w:t>
      </w:r>
      <w:proofErr w:type="spellStart"/>
      <w:r w:rsidR="00A865FA" w:rsidRPr="0021486F">
        <w:rPr>
          <w:rFonts w:ascii="Times New Roman" w:hAnsi="Times New Roman" w:cs="Times New Roman"/>
          <w:color w:val="363430"/>
          <w:sz w:val="24"/>
          <w:szCs w:val="24"/>
        </w:rPr>
        <w:t>neuro</w:t>
      </w:r>
      <w:proofErr w:type="spellEnd"/>
      <w:r w:rsidR="00A865FA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-scientific methods the </w:t>
      </w:r>
      <w:r w:rsidR="00F93B56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marketers </w:t>
      </w:r>
      <w:r w:rsidR="0064288B" w:rsidRPr="0021486F">
        <w:rPr>
          <w:rFonts w:ascii="Times New Roman" w:hAnsi="Times New Roman" w:cs="Times New Roman"/>
          <w:color w:val="363430"/>
          <w:sz w:val="24"/>
          <w:szCs w:val="24"/>
        </w:rPr>
        <w:t>intends to</w:t>
      </w:r>
      <w:r w:rsidR="00F93B56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 obtain information </w:t>
      </w:r>
      <w:r w:rsidR="008F0EF9" w:rsidRPr="0021486F">
        <w:rPr>
          <w:rFonts w:ascii="Times New Roman" w:hAnsi="Times New Roman" w:cs="Times New Roman"/>
          <w:color w:val="363430"/>
          <w:sz w:val="24"/>
          <w:szCs w:val="24"/>
        </w:rPr>
        <w:t>that cannot be known through conventional market research methods.</w:t>
      </w:r>
      <w:r w:rsidR="00A865FA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  </w:t>
      </w:r>
    </w:p>
    <w:p w:rsidR="0053292E" w:rsidRPr="0021486F" w:rsidRDefault="008F0EF9" w:rsidP="0021486F">
      <w:pPr>
        <w:jc w:val="both"/>
        <w:rPr>
          <w:rFonts w:ascii="Times New Roman" w:hAnsi="Times New Roman" w:cs="Times New Roman"/>
          <w:color w:val="363430"/>
          <w:sz w:val="24"/>
          <w:szCs w:val="24"/>
        </w:rPr>
      </w:pPr>
      <w:r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The general belief is to trust what a customer does </w:t>
      </w:r>
      <w:r w:rsidR="00BF70C7" w:rsidRPr="0021486F">
        <w:rPr>
          <w:rFonts w:ascii="Times New Roman" w:hAnsi="Times New Roman" w:cs="Times New Roman"/>
          <w:color w:val="363430"/>
          <w:sz w:val="24"/>
          <w:szCs w:val="24"/>
        </w:rPr>
        <w:t>than</w:t>
      </w:r>
      <w:r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 what a customer says.</w:t>
      </w:r>
      <w:r w:rsidR="006639A4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 </w:t>
      </w:r>
      <w:r w:rsidR="00383D5D" w:rsidRPr="0021486F">
        <w:rPr>
          <w:rFonts w:ascii="Times New Roman" w:hAnsi="Times New Roman" w:cs="Times New Roman"/>
          <w:color w:val="363430"/>
          <w:sz w:val="24"/>
          <w:szCs w:val="24"/>
        </w:rPr>
        <w:t>The ultimate aim of consumer neuroscientists is to decipher why consumers behave the way they behave and know their probable future behavior.</w:t>
      </w:r>
      <w:r w:rsidR="0079492E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 Likewise the motive of every marketer is to understand consumer behavior towards marketing strategies and </w:t>
      </w:r>
      <w:r w:rsidR="00006602" w:rsidRPr="0021486F">
        <w:rPr>
          <w:rFonts w:ascii="Times New Roman" w:hAnsi="Times New Roman" w:cs="Times New Roman"/>
          <w:color w:val="363430"/>
          <w:sz w:val="24"/>
          <w:szCs w:val="24"/>
        </w:rPr>
        <w:t xml:space="preserve">design </w:t>
      </w:r>
      <w:r w:rsidR="006B716A" w:rsidRPr="0021486F">
        <w:rPr>
          <w:rFonts w:ascii="Times New Roman" w:hAnsi="Times New Roman" w:cs="Times New Roman"/>
          <w:color w:val="363430"/>
          <w:sz w:val="24"/>
          <w:szCs w:val="24"/>
        </w:rPr>
        <w:t>marketing plan to suit customer preferences.</w:t>
      </w:r>
    </w:p>
    <w:p w:rsidR="008F0EF9" w:rsidRPr="0083425D" w:rsidRDefault="005A49AC" w:rsidP="00A04655">
      <w:pPr>
        <w:pStyle w:val="NormalWeb"/>
        <w:shd w:val="clear" w:color="auto" w:fill="FFFFFF"/>
        <w:spacing w:before="0" w:after="0"/>
        <w:rPr>
          <w:b/>
          <w:color w:val="363430"/>
        </w:rPr>
      </w:pPr>
      <w:r w:rsidRPr="0083425D">
        <w:rPr>
          <w:b/>
          <w:color w:val="363430"/>
        </w:rPr>
        <w:t>Neuroscience Toolkit</w:t>
      </w:r>
    </w:p>
    <w:p w:rsidR="008F0EF9" w:rsidRPr="006A34A0" w:rsidRDefault="000376B1" w:rsidP="00A04655">
      <w:pPr>
        <w:pStyle w:val="NormalWeb"/>
        <w:shd w:val="clear" w:color="auto" w:fill="FFFFFF"/>
        <w:spacing w:before="0" w:after="0"/>
        <w:rPr>
          <w:color w:val="363430"/>
        </w:rPr>
      </w:pPr>
      <w:r w:rsidRPr="006A34A0">
        <w:rPr>
          <w:color w:val="363430"/>
        </w:rPr>
        <w:t xml:space="preserve">Most popular and widely available toolkit to study consumer neuroscience are </w:t>
      </w:r>
      <w:r w:rsidR="00B1023E" w:rsidRPr="006A34A0">
        <w:rPr>
          <w:color w:val="363430"/>
        </w:rPr>
        <w:t>mentioned below</w:t>
      </w:r>
      <w:r w:rsidRPr="006A34A0">
        <w:rPr>
          <w:color w:val="363430"/>
        </w:rPr>
        <w:t>:</w:t>
      </w:r>
    </w:p>
    <w:p w:rsidR="000376B1" w:rsidRPr="006A34A0" w:rsidRDefault="000376B1" w:rsidP="00D53FF2">
      <w:pPr>
        <w:pStyle w:val="NormalWeb"/>
        <w:numPr>
          <w:ilvl w:val="0"/>
          <w:numId w:val="3"/>
        </w:numPr>
        <w:shd w:val="clear" w:color="auto" w:fill="FFFFFF"/>
        <w:spacing w:before="0" w:after="0"/>
        <w:rPr>
          <w:color w:val="363430"/>
        </w:rPr>
      </w:pPr>
      <w:r w:rsidRPr="004E4DBC">
        <w:rPr>
          <w:b/>
          <w:color w:val="363430"/>
        </w:rPr>
        <w:t>EEG</w:t>
      </w:r>
      <w:r w:rsidR="00E31905" w:rsidRPr="004E4DBC">
        <w:rPr>
          <w:b/>
          <w:color w:val="363430"/>
        </w:rPr>
        <w:t xml:space="preserve"> (</w:t>
      </w:r>
      <w:r w:rsidR="00E31905" w:rsidRPr="004E4DBC">
        <w:rPr>
          <w:b/>
          <w:color w:val="000000"/>
          <w:shd w:val="clear" w:color="auto" w:fill="FFFFFF"/>
        </w:rPr>
        <w:t>electroencephalogram</w:t>
      </w:r>
      <w:r w:rsidR="00E31905" w:rsidRPr="004E4DBC">
        <w:rPr>
          <w:b/>
          <w:color w:val="363430"/>
        </w:rPr>
        <w:t>)</w:t>
      </w:r>
      <w:r w:rsidR="00DF0A0B" w:rsidRPr="004E4DBC">
        <w:rPr>
          <w:b/>
          <w:color w:val="363430"/>
        </w:rPr>
        <w:t>:</w:t>
      </w:r>
      <w:r w:rsidR="00DF0A0B" w:rsidRPr="006A34A0">
        <w:rPr>
          <w:color w:val="363430"/>
        </w:rPr>
        <w:t xml:space="preserve"> </w:t>
      </w:r>
      <w:r w:rsidR="00D53FF2" w:rsidRPr="006A34A0">
        <w:rPr>
          <w:color w:val="363430"/>
        </w:rPr>
        <w:t xml:space="preserve">This is used </w:t>
      </w:r>
      <w:r w:rsidR="00DF0A0B" w:rsidRPr="006A34A0">
        <w:rPr>
          <w:color w:val="363430"/>
          <w:shd w:val="clear" w:color="auto" w:fill="FFFFFF"/>
        </w:rPr>
        <w:t>to detect bra</w:t>
      </w:r>
      <w:r w:rsidR="00D53FF2" w:rsidRPr="006A34A0">
        <w:rPr>
          <w:color w:val="363430"/>
          <w:shd w:val="clear" w:color="auto" w:fill="FFFFFF"/>
        </w:rPr>
        <w:t>in-based signals that can relay</w:t>
      </w:r>
      <w:r w:rsidR="00DF0A0B" w:rsidRPr="006A34A0">
        <w:rPr>
          <w:color w:val="363430"/>
          <w:shd w:val="clear" w:color="auto" w:fill="FFFFFF"/>
        </w:rPr>
        <w:t xml:space="preserve"> information about </w:t>
      </w:r>
      <w:r w:rsidR="00D53FF2" w:rsidRPr="006A34A0">
        <w:rPr>
          <w:color w:val="363430"/>
          <w:shd w:val="clear" w:color="auto" w:fill="FFFFFF"/>
        </w:rPr>
        <w:t xml:space="preserve">consumers </w:t>
      </w:r>
      <w:r w:rsidR="00DF0A0B" w:rsidRPr="006A34A0">
        <w:rPr>
          <w:color w:val="363430"/>
          <w:shd w:val="clear" w:color="auto" w:fill="FFFFFF"/>
        </w:rPr>
        <w:t>purchase intentions</w:t>
      </w:r>
      <w:r w:rsidR="00D53FF2" w:rsidRPr="006A34A0">
        <w:rPr>
          <w:color w:val="363430"/>
          <w:shd w:val="clear" w:color="auto" w:fill="FFFFFF"/>
        </w:rPr>
        <w:t xml:space="preserve"> when exposed to external stimuli.</w:t>
      </w:r>
    </w:p>
    <w:p w:rsidR="00DD3736" w:rsidRPr="006A34A0" w:rsidRDefault="000376B1" w:rsidP="00D53FF2">
      <w:pPr>
        <w:pStyle w:val="NormalWeb"/>
        <w:numPr>
          <w:ilvl w:val="0"/>
          <w:numId w:val="3"/>
        </w:numPr>
        <w:shd w:val="clear" w:color="auto" w:fill="FFFFFF"/>
        <w:spacing w:before="0" w:after="0"/>
        <w:rPr>
          <w:color w:val="363430"/>
        </w:rPr>
      </w:pPr>
      <w:r w:rsidRPr="004E4DBC">
        <w:rPr>
          <w:b/>
          <w:color w:val="363430"/>
        </w:rPr>
        <w:t>Eye</w:t>
      </w:r>
      <w:r w:rsidR="00005B48" w:rsidRPr="004E4DBC">
        <w:rPr>
          <w:b/>
          <w:color w:val="363430"/>
        </w:rPr>
        <w:t xml:space="preserve"> </w:t>
      </w:r>
      <w:r w:rsidRPr="004E4DBC">
        <w:rPr>
          <w:b/>
          <w:color w:val="363430"/>
        </w:rPr>
        <w:t>tracking</w:t>
      </w:r>
      <w:r w:rsidR="0011628E" w:rsidRPr="004E4DBC">
        <w:rPr>
          <w:b/>
          <w:color w:val="363430"/>
        </w:rPr>
        <w:t>:</w:t>
      </w:r>
      <w:r w:rsidR="0011628E" w:rsidRPr="006A34A0">
        <w:rPr>
          <w:color w:val="363430"/>
        </w:rPr>
        <w:t xml:space="preserve"> </w:t>
      </w:r>
      <w:r w:rsidR="005C6600" w:rsidRPr="006A34A0">
        <w:rPr>
          <w:color w:val="363430"/>
        </w:rPr>
        <w:t xml:space="preserve">Eye tracking is used </w:t>
      </w:r>
      <w:r w:rsidR="0011628E" w:rsidRPr="006A34A0">
        <w:rPr>
          <w:color w:val="363430"/>
        </w:rPr>
        <w:t xml:space="preserve">to examine consumer attention when presented with various </w:t>
      </w:r>
      <w:r w:rsidR="005C6600" w:rsidRPr="006A34A0">
        <w:rPr>
          <w:color w:val="363430"/>
        </w:rPr>
        <w:t xml:space="preserve">brand/product </w:t>
      </w:r>
      <w:r w:rsidR="0011628E" w:rsidRPr="006A34A0">
        <w:rPr>
          <w:color w:val="363430"/>
        </w:rPr>
        <w:t>alternatives</w:t>
      </w:r>
      <w:r w:rsidR="005C6600" w:rsidRPr="006A34A0">
        <w:rPr>
          <w:color w:val="363430"/>
        </w:rPr>
        <w:t xml:space="preserve"> in the environment.</w:t>
      </w:r>
    </w:p>
    <w:p w:rsidR="00995A80" w:rsidRPr="006A34A0" w:rsidRDefault="00995A80" w:rsidP="00D53FF2">
      <w:pPr>
        <w:pStyle w:val="NormalWeb"/>
        <w:numPr>
          <w:ilvl w:val="0"/>
          <w:numId w:val="3"/>
        </w:numPr>
        <w:shd w:val="clear" w:color="auto" w:fill="FFFFFF"/>
        <w:spacing w:before="0" w:after="0"/>
        <w:rPr>
          <w:color w:val="363430"/>
        </w:rPr>
      </w:pPr>
      <w:r w:rsidRPr="004E4DBC">
        <w:rPr>
          <w:b/>
          <w:color w:val="363430"/>
        </w:rPr>
        <w:t>GSR</w:t>
      </w:r>
      <w:r w:rsidR="00B717E7" w:rsidRPr="004E4DBC">
        <w:rPr>
          <w:b/>
          <w:color w:val="363430"/>
        </w:rPr>
        <w:t xml:space="preserve"> </w:t>
      </w:r>
      <w:r w:rsidR="00DD3736" w:rsidRPr="004E4DBC">
        <w:rPr>
          <w:b/>
          <w:color w:val="363430"/>
        </w:rPr>
        <w:t>(</w:t>
      </w:r>
      <w:r w:rsidR="00DD3736" w:rsidRPr="004E4DBC">
        <w:rPr>
          <w:rStyle w:val="Strong"/>
          <w:b w:val="0"/>
          <w:bCs w:val="0"/>
          <w:color w:val="4D4D4D"/>
        </w:rPr>
        <w:t>Galvanic skin response</w:t>
      </w:r>
      <w:r w:rsidR="00DD3736" w:rsidRPr="004E4DBC">
        <w:rPr>
          <w:b/>
          <w:color w:val="363430"/>
        </w:rPr>
        <w:t>):</w:t>
      </w:r>
      <w:r w:rsidR="00CF4699" w:rsidRPr="004E4DBC">
        <w:rPr>
          <w:b/>
          <w:color w:val="4D4D4D"/>
          <w:shd w:val="clear" w:color="auto" w:fill="FFFFFF"/>
        </w:rPr>
        <w:t xml:space="preserve"> </w:t>
      </w:r>
      <w:r w:rsidR="000409B0" w:rsidRPr="006A34A0">
        <w:rPr>
          <w:color w:val="4D4D4D"/>
          <w:shd w:val="clear" w:color="auto" w:fill="FFFFFF"/>
        </w:rPr>
        <w:t xml:space="preserve">GSR </w:t>
      </w:r>
      <w:r w:rsidR="00CF4699" w:rsidRPr="006A34A0">
        <w:rPr>
          <w:color w:val="4D4D4D"/>
          <w:shd w:val="clear" w:color="auto" w:fill="FFFFFF"/>
        </w:rPr>
        <w:t xml:space="preserve">measures and registers slight changes in the responses of skin conductance </w:t>
      </w:r>
      <w:r w:rsidR="000409B0" w:rsidRPr="006A34A0">
        <w:rPr>
          <w:color w:val="4D4D4D"/>
          <w:shd w:val="clear" w:color="auto" w:fill="FFFFFF"/>
        </w:rPr>
        <w:t xml:space="preserve">of the consumer </w:t>
      </w:r>
      <w:r w:rsidR="00CF4699" w:rsidRPr="006A34A0">
        <w:rPr>
          <w:color w:val="4D4D4D"/>
          <w:shd w:val="clear" w:color="auto" w:fill="FFFFFF"/>
        </w:rPr>
        <w:t xml:space="preserve">after </w:t>
      </w:r>
      <w:r w:rsidR="000409B0" w:rsidRPr="006A34A0">
        <w:rPr>
          <w:color w:val="4D4D4D"/>
          <w:shd w:val="clear" w:color="auto" w:fill="FFFFFF"/>
        </w:rPr>
        <w:t>hi</w:t>
      </w:r>
      <w:r w:rsidR="00F14A95" w:rsidRPr="006A34A0">
        <w:rPr>
          <w:color w:val="4D4D4D"/>
          <w:shd w:val="clear" w:color="auto" w:fill="FFFFFF"/>
        </w:rPr>
        <w:t>s</w:t>
      </w:r>
      <w:r w:rsidR="000409B0" w:rsidRPr="006A34A0">
        <w:rPr>
          <w:color w:val="4D4D4D"/>
          <w:shd w:val="clear" w:color="auto" w:fill="FFFFFF"/>
        </w:rPr>
        <w:t xml:space="preserve">/her </w:t>
      </w:r>
      <w:r w:rsidR="00CF4699" w:rsidRPr="006A34A0">
        <w:rPr>
          <w:color w:val="4D4D4D"/>
          <w:shd w:val="clear" w:color="auto" w:fill="FFFFFF"/>
        </w:rPr>
        <w:t>exposure to a marketing stimulus.</w:t>
      </w:r>
    </w:p>
    <w:p w:rsidR="00F52935" w:rsidRPr="006A34A0" w:rsidRDefault="000376B1" w:rsidP="00D53FF2">
      <w:pPr>
        <w:pStyle w:val="NormalWeb"/>
        <w:numPr>
          <w:ilvl w:val="0"/>
          <w:numId w:val="3"/>
        </w:numPr>
        <w:shd w:val="clear" w:color="auto" w:fill="FFFFFF"/>
        <w:spacing w:before="0" w:after="0"/>
        <w:rPr>
          <w:color w:val="4D4D4D"/>
          <w:shd w:val="clear" w:color="auto" w:fill="FFFFFF"/>
        </w:rPr>
      </w:pPr>
      <w:proofErr w:type="gramStart"/>
      <w:r w:rsidRPr="004E4DBC">
        <w:rPr>
          <w:b/>
          <w:color w:val="363430"/>
        </w:rPr>
        <w:lastRenderedPageBreak/>
        <w:t>fMRI</w:t>
      </w:r>
      <w:proofErr w:type="gramEnd"/>
      <w:r w:rsidR="00995A80" w:rsidRPr="004E4DBC">
        <w:rPr>
          <w:b/>
          <w:color w:val="363430"/>
        </w:rPr>
        <w:t xml:space="preserve"> (</w:t>
      </w:r>
      <w:r w:rsidR="00995A80" w:rsidRPr="004E4DBC">
        <w:rPr>
          <w:b/>
          <w:color w:val="4D4D4D"/>
        </w:rPr>
        <w:t>Functional Magnetic Resonance):</w:t>
      </w:r>
      <w:r w:rsidR="00995A80" w:rsidRPr="006A34A0">
        <w:rPr>
          <w:color w:val="4D4D4D"/>
        </w:rPr>
        <w:t xml:space="preserve"> </w:t>
      </w:r>
      <w:r w:rsidR="00A80F92" w:rsidRPr="006A34A0">
        <w:rPr>
          <w:color w:val="4D4D4D"/>
        </w:rPr>
        <w:t xml:space="preserve">It </w:t>
      </w:r>
      <w:r w:rsidR="00F14A95" w:rsidRPr="006A34A0">
        <w:rPr>
          <w:color w:val="4D4D4D"/>
        </w:rPr>
        <w:t xml:space="preserve">is employed to </w:t>
      </w:r>
      <w:r w:rsidR="00995A80" w:rsidRPr="006A34A0">
        <w:rPr>
          <w:color w:val="4D4D4D"/>
          <w:shd w:val="clear" w:color="auto" w:fill="FFFFFF"/>
        </w:rPr>
        <w:t xml:space="preserve">map brain activity </w:t>
      </w:r>
      <w:r w:rsidR="00F14A95" w:rsidRPr="006A34A0">
        <w:rPr>
          <w:color w:val="4D4D4D"/>
          <w:shd w:val="clear" w:color="auto" w:fill="FFFFFF"/>
        </w:rPr>
        <w:t xml:space="preserve">of consumer </w:t>
      </w:r>
      <w:r w:rsidR="00995A80" w:rsidRPr="006A34A0">
        <w:rPr>
          <w:color w:val="4D4D4D"/>
          <w:shd w:val="clear" w:color="auto" w:fill="FFFFFF"/>
        </w:rPr>
        <w:t>throug</w:t>
      </w:r>
      <w:r w:rsidR="00F14A95" w:rsidRPr="006A34A0">
        <w:rPr>
          <w:color w:val="4D4D4D"/>
          <w:shd w:val="clear" w:color="auto" w:fill="FFFFFF"/>
        </w:rPr>
        <w:t xml:space="preserve">h </w:t>
      </w:r>
      <w:r w:rsidR="00995A80" w:rsidRPr="006A34A0">
        <w:rPr>
          <w:color w:val="4D4D4D"/>
          <w:shd w:val="clear" w:color="auto" w:fill="FFFFFF"/>
        </w:rPr>
        <w:t>detectin</w:t>
      </w:r>
      <w:r w:rsidR="00F14A95" w:rsidRPr="006A34A0">
        <w:rPr>
          <w:color w:val="4D4D4D"/>
          <w:shd w:val="clear" w:color="auto" w:fill="FFFFFF"/>
        </w:rPr>
        <w:t>g</w:t>
      </w:r>
      <w:r w:rsidR="00995A80" w:rsidRPr="006A34A0">
        <w:rPr>
          <w:color w:val="4D4D4D"/>
          <w:shd w:val="clear" w:color="auto" w:fill="FFFFFF"/>
        </w:rPr>
        <w:t xml:space="preserve"> cha</w:t>
      </w:r>
      <w:r w:rsidR="00F14A95" w:rsidRPr="006A34A0">
        <w:rPr>
          <w:color w:val="4D4D4D"/>
          <w:shd w:val="clear" w:color="auto" w:fill="FFFFFF"/>
        </w:rPr>
        <w:t>nges associated with blood flow in the body.</w:t>
      </w:r>
    </w:p>
    <w:p w:rsidR="00F52935" w:rsidRPr="006A34A0" w:rsidRDefault="00F52935" w:rsidP="00D53FF2">
      <w:pPr>
        <w:pStyle w:val="NormalWeb"/>
        <w:numPr>
          <w:ilvl w:val="0"/>
          <w:numId w:val="3"/>
        </w:numPr>
        <w:shd w:val="clear" w:color="auto" w:fill="FFFFFF"/>
        <w:spacing w:before="0" w:after="0"/>
        <w:rPr>
          <w:color w:val="4D4D4D"/>
          <w:shd w:val="clear" w:color="auto" w:fill="FFFFFF"/>
        </w:rPr>
      </w:pPr>
      <w:r w:rsidRPr="006A34A0">
        <w:rPr>
          <w:rStyle w:val="Strong"/>
          <w:bCs w:val="0"/>
          <w:color w:val="4D4D4D"/>
        </w:rPr>
        <w:t>Facial Coding</w:t>
      </w:r>
      <w:r w:rsidRPr="006A34A0">
        <w:rPr>
          <w:rStyle w:val="Strong"/>
          <w:b w:val="0"/>
          <w:bCs w:val="0"/>
          <w:color w:val="4D4D4D"/>
        </w:rPr>
        <w:t xml:space="preserve">: </w:t>
      </w:r>
      <w:r w:rsidRPr="006A34A0">
        <w:rPr>
          <w:color w:val="4D4D4D"/>
          <w:shd w:val="clear" w:color="auto" w:fill="FFFFFF"/>
        </w:rPr>
        <w:t>measures and registers the voluntary and involuntary movements of facial muscles, participants are exposed to investigation stimuli.</w:t>
      </w:r>
    </w:p>
    <w:p w:rsidR="00F52935" w:rsidRPr="0086008B" w:rsidRDefault="00687303" w:rsidP="0086008B">
      <w:pPr>
        <w:pStyle w:val="NormalWeb"/>
        <w:shd w:val="clear" w:color="auto" w:fill="FFFFFF"/>
        <w:spacing w:before="0" w:after="0"/>
        <w:jc w:val="both"/>
        <w:rPr>
          <w:color w:val="363430"/>
        </w:rPr>
      </w:pPr>
      <w:bookmarkStart w:id="0" w:name="_GoBack"/>
      <w:r w:rsidRPr="0086008B">
        <w:rPr>
          <w:color w:val="363430"/>
        </w:rPr>
        <w:t>The list of tools/apparatus used for consumer neuroscience is long, attempted to mention only the popular ones. Depending on the financial viability and outcome required consumer neuroscie</w:t>
      </w:r>
      <w:r w:rsidR="00B94B85" w:rsidRPr="0086008B">
        <w:rPr>
          <w:color w:val="363430"/>
        </w:rPr>
        <w:t>ntists may employ relevant tool or combination of tools.</w:t>
      </w:r>
    </w:p>
    <w:p w:rsidR="005F2EDC" w:rsidRPr="0086008B" w:rsidRDefault="009E7B9A" w:rsidP="0086008B">
      <w:pPr>
        <w:pStyle w:val="NormalWeb"/>
        <w:shd w:val="clear" w:color="auto" w:fill="FFFFFF"/>
        <w:spacing w:before="0" w:after="0"/>
        <w:jc w:val="both"/>
        <w:rPr>
          <w:color w:val="363430"/>
        </w:rPr>
      </w:pPr>
      <w:r w:rsidRPr="0086008B">
        <w:rPr>
          <w:color w:val="363430"/>
        </w:rPr>
        <w:t xml:space="preserve">The </w:t>
      </w:r>
      <w:r w:rsidR="00140FE4" w:rsidRPr="0086008B">
        <w:rPr>
          <w:color w:val="363430"/>
        </w:rPr>
        <w:t xml:space="preserve">fascinating outcomes of </w:t>
      </w:r>
      <w:proofErr w:type="spellStart"/>
      <w:r w:rsidR="00140FE4" w:rsidRPr="0086008B">
        <w:rPr>
          <w:color w:val="363430"/>
        </w:rPr>
        <w:t>neuro</w:t>
      </w:r>
      <w:proofErr w:type="spellEnd"/>
      <w:r w:rsidR="00140FE4" w:rsidRPr="0086008B">
        <w:rPr>
          <w:color w:val="363430"/>
        </w:rPr>
        <w:t>-marketing is yet to be realized, however it is emerging as a reliable tool to global marketing companies to know their customers in various cultures.</w:t>
      </w:r>
      <w:r w:rsidR="0041143D" w:rsidRPr="0086008B">
        <w:rPr>
          <w:color w:val="363430"/>
        </w:rPr>
        <w:t xml:space="preserve"> Such consumer research will help bridge the gap in consumer understanding for companies operating in cross-cultural environment.</w:t>
      </w:r>
    </w:p>
    <w:p w:rsidR="000376B1" w:rsidRPr="0086008B" w:rsidRDefault="005F2EDC" w:rsidP="0086008B">
      <w:pPr>
        <w:pStyle w:val="NormalWeb"/>
        <w:shd w:val="clear" w:color="auto" w:fill="FFFFFF"/>
        <w:spacing w:before="0" w:after="0"/>
        <w:jc w:val="both"/>
        <w:rPr>
          <w:color w:val="363430"/>
        </w:rPr>
      </w:pPr>
      <w:r w:rsidRPr="0086008B">
        <w:rPr>
          <w:color w:val="363430"/>
        </w:rPr>
        <w:t>In India neuroscience research is still in nascent stage and its potential is yet to be realized here, barring few start-ups and some multi-national companies</w:t>
      </w:r>
      <w:r w:rsidR="00D260A7" w:rsidRPr="0086008B">
        <w:rPr>
          <w:color w:val="363430"/>
        </w:rPr>
        <w:t>, consumer neuroscience research is yet to find some takers among the corporate houses. High cost involved in setting-up labs or outsourcing such services may be the reason for not using neuroscience as popular market research method.</w:t>
      </w:r>
      <w:r w:rsidRPr="0086008B">
        <w:rPr>
          <w:color w:val="363430"/>
        </w:rPr>
        <w:t xml:space="preserve"> </w:t>
      </w:r>
      <w:r w:rsidR="00140FE4" w:rsidRPr="0086008B">
        <w:rPr>
          <w:color w:val="363430"/>
        </w:rPr>
        <w:t xml:space="preserve"> </w:t>
      </w:r>
    </w:p>
    <w:bookmarkEnd w:id="0"/>
    <w:p w:rsidR="00A04655" w:rsidRDefault="00A04655"/>
    <w:p w:rsidR="00140FE4" w:rsidRDefault="00140FE4"/>
    <w:p w:rsidR="00A456AB" w:rsidRDefault="00A456AB"/>
    <w:p w:rsidR="00A456AB" w:rsidRDefault="00A456AB"/>
    <w:p w:rsidR="00A456AB" w:rsidRDefault="00A456AB"/>
    <w:p w:rsidR="00A456AB" w:rsidRDefault="00A456AB"/>
    <w:p w:rsidR="00A456AB" w:rsidRDefault="00A456AB"/>
    <w:p w:rsidR="00A456AB" w:rsidRDefault="00A456AB"/>
    <w:p w:rsidR="00A456AB" w:rsidRDefault="00A456AB"/>
    <w:p w:rsidR="00A456AB" w:rsidRDefault="00A456AB">
      <w:hyperlink r:id="rId6" w:history="1">
        <w:r>
          <w:rPr>
            <w:rStyle w:val="Hyperlink"/>
          </w:rPr>
          <w:t>https://imotions.com/blog/consumer-neuroscience/</w:t>
        </w:r>
      </w:hyperlink>
    </w:p>
    <w:p w:rsidR="00FC5D2B" w:rsidRDefault="00FC5D2B">
      <w:hyperlink r:id="rId7" w:history="1">
        <w:r>
          <w:rPr>
            <w:rStyle w:val="Hyperlink"/>
          </w:rPr>
          <w:t>https://economictimes.indiatimes.com/industry/services/retail/how-neuroscience-can-help-global-companies-bridge-the-gap-with-indian-customers/articleshow/57818955.cms</w:t>
        </w:r>
      </w:hyperlink>
    </w:p>
    <w:sectPr w:rsidR="00FC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0599"/>
    <w:multiLevelType w:val="hybridMultilevel"/>
    <w:tmpl w:val="FA761432"/>
    <w:lvl w:ilvl="0" w:tplc="468A8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4B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2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E0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2B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29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A6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29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2E67D6"/>
    <w:multiLevelType w:val="hybridMultilevel"/>
    <w:tmpl w:val="9ED492F2"/>
    <w:lvl w:ilvl="0" w:tplc="F0EAD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C8C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45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A0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41F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C9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248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69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8C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C55D6A"/>
    <w:multiLevelType w:val="hybridMultilevel"/>
    <w:tmpl w:val="0AA6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57"/>
    <w:rsid w:val="00005B48"/>
    <w:rsid w:val="00006602"/>
    <w:rsid w:val="00007068"/>
    <w:rsid w:val="000376B1"/>
    <w:rsid w:val="000409B0"/>
    <w:rsid w:val="00045D31"/>
    <w:rsid w:val="00074CD7"/>
    <w:rsid w:val="0011628E"/>
    <w:rsid w:val="00140FE4"/>
    <w:rsid w:val="00173957"/>
    <w:rsid w:val="001820FE"/>
    <w:rsid w:val="0021486F"/>
    <w:rsid w:val="00265813"/>
    <w:rsid w:val="00347E9D"/>
    <w:rsid w:val="0035655B"/>
    <w:rsid w:val="00383D5D"/>
    <w:rsid w:val="0041143D"/>
    <w:rsid w:val="004E4DBC"/>
    <w:rsid w:val="005322C2"/>
    <w:rsid w:val="0053292E"/>
    <w:rsid w:val="005A49AC"/>
    <w:rsid w:val="005C6600"/>
    <w:rsid w:val="005F2EDC"/>
    <w:rsid w:val="0064288B"/>
    <w:rsid w:val="00646EB1"/>
    <w:rsid w:val="006639A4"/>
    <w:rsid w:val="00687303"/>
    <w:rsid w:val="006A34A0"/>
    <w:rsid w:val="006B716A"/>
    <w:rsid w:val="006E6416"/>
    <w:rsid w:val="0079492E"/>
    <w:rsid w:val="00800615"/>
    <w:rsid w:val="0083425D"/>
    <w:rsid w:val="0086008B"/>
    <w:rsid w:val="008D6901"/>
    <w:rsid w:val="008F0EF9"/>
    <w:rsid w:val="0098382E"/>
    <w:rsid w:val="00995A80"/>
    <w:rsid w:val="009A3F79"/>
    <w:rsid w:val="009E7B9A"/>
    <w:rsid w:val="00A04655"/>
    <w:rsid w:val="00A456AB"/>
    <w:rsid w:val="00A80F92"/>
    <w:rsid w:val="00A82D1E"/>
    <w:rsid w:val="00A865FA"/>
    <w:rsid w:val="00B1023E"/>
    <w:rsid w:val="00B24B3B"/>
    <w:rsid w:val="00B40638"/>
    <w:rsid w:val="00B67BE3"/>
    <w:rsid w:val="00B717E7"/>
    <w:rsid w:val="00B94B85"/>
    <w:rsid w:val="00BF70C7"/>
    <w:rsid w:val="00CF4699"/>
    <w:rsid w:val="00D260A7"/>
    <w:rsid w:val="00D53FF2"/>
    <w:rsid w:val="00DD3736"/>
    <w:rsid w:val="00DD462C"/>
    <w:rsid w:val="00DF0A0B"/>
    <w:rsid w:val="00E31905"/>
    <w:rsid w:val="00EF7890"/>
    <w:rsid w:val="00F14A95"/>
    <w:rsid w:val="00F52935"/>
    <w:rsid w:val="00F93B56"/>
    <w:rsid w:val="00F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7A13A-213F-4601-B22C-9D17D745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5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6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5A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D3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omictimes.indiatimes.com/industry/services/retail/how-neuroscience-can-help-global-companies-bridge-the-gap-with-indian-customers/articleshow/57818955.c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otions.com/blog/consumer-neuroscienc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IILM</dc:creator>
  <cp:keywords/>
  <dc:description/>
  <cp:lastModifiedBy>IILM</cp:lastModifiedBy>
  <cp:revision>65</cp:revision>
  <dcterms:created xsi:type="dcterms:W3CDTF">2020-03-30T12:29:00Z</dcterms:created>
  <dcterms:modified xsi:type="dcterms:W3CDTF">2020-03-30T17:37:00Z</dcterms:modified>
</cp:coreProperties>
</file>